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AAFD24" w14:textId="77777777" w:rsidR="00A36608" w:rsidRPr="00A36608" w:rsidRDefault="00A36608" w:rsidP="00A36608">
      <w:pPr>
        <w:pStyle w:val="berschrift-H2"/>
        <w:rPr>
          <w:lang w:val="en-US"/>
        </w:rPr>
      </w:pPr>
      <w:r w:rsidRPr="00A36608">
        <w:rPr>
          <w:lang w:val="en-US"/>
        </w:rPr>
        <w:t>Rittal simplifies power distribution to US standards</w:t>
      </w:r>
    </w:p>
    <w:p w14:paraId="70BE28AA" w14:textId="77777777" w:rsidR="00A36608" w:rsidRPr="00A36608" w:rsidRDefault="00A36608" w:rsidP="00A36608">
      <w:pPr>
        <w:pStyle w:val="berschrift-H1"/>
        <w:rPr>
          <w:lang w:val="en-US"/>
        </w:rPr>
      </w:pPr>
      <w:r w:rsidRPr="00A36608">
        <w:rPr>
          <w:lang w:val="en-US"/>
        </w:rPr>
        <w:t>UL certified fuse holder for RiLineX</w:t>
      </w:r>
    </w:p>
    <w:p w14:paraId="4A2AF2C0" w14:textId="77777777" w:rsidR="00A36608" w:rsidRPr="00A36608" w:rsidRDefault="00A36608" w:rsidP="00A36608">
      <w:pPr>
        <w:pStyle w:val="Ort-Datum"/>
        <w:rPr>
          <w:lang w:val="en-US"/>
        </w:rPr>
      </w:pPr>
      <w:r w:rsidRPr="00A36608">
        <w:rPr>
          <w:lang w:val="en-US"/>
        </w:rPr>
        <w:t>Herborn, 2026-04-22.</w:t>
      </w:r>
    </w:p>
    <w:p w14:paraId="6CAF864A" w14:textId="77777777" w:rsidR="00A36608" w:rsidRPr="00A36608" w:rsidRDefault="00A36608" w:rsidP="00A36608">
      <w:pPr>
        <w:pStyle w:val="Copytext"/>
        <w:rPr>
          <w:b/>
          <w:bCs w:val="0"/>
          <w:lang w:val="en-US"/>
        </w:rPr>
      </w:pPr>
      <w:r w:rsidRPr="00A36608">
        <w:rPr>
          <w:b/>
          <w:lang w:val="en-US"/>
        </w:rPr>
        <w:t>Rittal has further extended its range of the RiLineX busbar system: new UL-certified fuse holders now make it even easier to engineer this quick-use standard platform in compliance with US standards. There is global demand for these fuse holders to ensure that machinery and other electrical equipment meet the requirements of Underwriters Laboratories (UL) – a prerequisite for use in the USA and various other sectors that adhere to these standards. With RiLineX fuse holders, these fuses can be fitted to the (circuit) boards without tools, with protection against accidental contact and without the need for any additional adaptors.</w:t>
      </w:r>
    </w:p>
    <w:p w14:paraId="24BFBD38" w14:textId="4C69C19B" w:rsidR="00A36608" w:rsidRPr="00A36608" w:rsidRDefault="00A36608" w:rsidP="00A36608">
      <w:pPr>
        <w:pStyle w:val="Copytext-Zwischenberschrift"/>
        <w:jc w:val="both"/>
        <w:rPr>
          <w:b w:val="0"/>
          <w:bCs w:val="0"/>
          <w:lang w:val="en-US"/>
        </w:rPr>
      </w:pPr>
      <w:r w:rsidRPr="00A36608">
        <w:rPr>
          <w:b w:val="0"/>
          <w:lang w:val="en-US"/>
        </w:rPr>
        <w:t>Rittal, a specialist in hardware, software and automation, is extending its range of the RiLineX busbar system with these UL-</w:t>
      </w:r>
      <w:r w:rsidR="00350E6C" w:rsidRPr="00A36608">
        <w:rPr>
          <w:b w:val="0"/>
          <w:lang w:val="en-US"/>
        </w:rPr>
        <w:t>certified and</w:t>
      </w:r>
      <w:r w:rsidRPr="00A36608">
        <w:rPr>
          <w:b w:val="0"/>
          <w:lang w:val="en-US"/>
        </w:rPr>
        <w:t xml:space="preserve"> approved fuse holders. The three-pole fuse holders are currently available in two output ratings for common US fuse types: Class CC up to 30 A and Class J up to 100 A – all offering the same core design benefits of RiLineX. “UL compliance is in demand not only within the US domestic market, but also from an international supplier’s perspective.” Our customers in Europe and Asia operate at a highly international level. “At the same time, technical and regulatory requirements are becoming increasingly complex,” says </w:t>
      </w:r>
      <w:r w:rsidR="002D3CA2" w:rsidRPr="002D3CA2">
        <w:rPr>
          <w:b w:val="0"/>
          <w:lang w:val="en-US"/>
        </w:rPr>
        <w:t>Dr Christian Maryska, Vice President Business Unit Energy &amp; Power Solutions, Rittal</w:t>
      </w:r>
      <w:r w:rsidRPr="00A36608">
        <w:rPr>
          <w:b w:val="0"/>
          <w:lang w:val="en-US"/>
        </w:rPr>
        <w:t xml:space="preserve">: “When developing RiLineX, our top </w:t>
      </w:r>
      <w:r w:rsidR="00350E6C" w:rsidRPr="00A36608">
        <w:rPr>
          <w:b w:val="0"/>
          <w:lang w:val="en-US"/>
        </w:rPr>
        <w:t>priority</w:t>
      </w:r>
      <w:r w:rsidRPr="00A36608">
        <w:rPr>
          <w:b w:val="0"/>
          <w:lang w:val="en-US"/>
        </w:rPr>
        <w:t xml:space="preserve"> was making it as easy as possible for customers to work with a flexible and widely ‘pre-tested’ platform.” The outcome is a high level of safety and reliability thanks to a design that complies and conforms with standards right from the design stage, reduced planning complexity, as well as much simpler stock management and exporting processes due to the increased use of standardised components within the modular system. And an overall faster and more efficient process – now UL-compliant also.</w:t>
      </w:r>
    </w:p>
    <w:p w14:paraId="6ACADC64" w14:textId="77777777" w:rsidR="00A36608" w:rsidRPr="00A36608" w:rsidRDefault="00A36608" w:rsidP="00A36608">
      <w:pPr>
        <w:pStyle w:val="Copytext-Zwischenberschrift"/>
        <w:jc w:val="both"/>
        <w:rPr>
          <w:spacing w:val="-5"/>
          <w:lang w:val="en-US"/>
        </w:rPr>
      </w:pPr>
      <w:r w:rsidRPr="00A36608">
        <w:rPr>
          <w:lang w:val="en-US"/>
        </w:rPr>
        <w:t>Tool-free assembly and greater user safety</w:t>
      </w:r>
    </w:p>
    <w:p w14:paraId="0375DA5F" w14:textId="688E3748" w:rsidR="00A36608" w:rsidRPr="00A36608" w:rsidRDefault="00A36608" w:rsidP="00A36608">
      <w:pPr>
        <w:pStyle w:val="Copytext"/>
        <w:jc w:val="both"/>
        <w:rPr>
          <w:lang w:val="en-US"/>
        </w:rPr>
      </w:pPr>
      <w:r w:rsidRPr="00A36608">
        <w:rPr>
          <w:lang w:val="en-US"/>
        </w:rPr>
        <w:t xml:space="preserve">Thanks to the </w:t>
      </w:r>
      <w:r w:rsidR="00261BBA" w:rsidRPr="00A36608">
        <w:rPr>
          <w:lang w:val="en-US"/>
        </w:rPr>
        <w:t>design</w:t>
      </w:r>
      <w:r w:rsidR="00261BBA">
        <w:rPr>
          <w:lang w:val="en-US"/>
        </w:rPr>
        <w:t xml:space="preserve"> adapted </w:t>
      </w:r>
      <w:r w:rsidR="006F451A">
        <w:rPr>
          <w:lang w:val="en-US"/>
        </w:rPr>
        <w:t xml:space="preserve">to </w:t>
      </w:r>
      <w:proofErr w:type="spellStart"/>
      <w:r w:rsidRPr="00A36608">
        <w:rPr>
          <w:lang w:val="en-US"/>
        </w:rPr>
        <w:t>RiLineX</w:t>
      </w:r>
      <w:proofErr w:type="spellEnd"/>
      <w:r w:rsidRPr="00A36608">
        <w:rPr>
          <w:lang w:val="en-US"/>
        </w:rPr>
        <w:t xml:space="preserve">, the fuse holders can be installed particularly quickly and easily. The ‘Click &amp; Work’ concept of this innovative busbar system platform </w:t>
      </w:r>
      <w:r w:rsidRPr="00A36608">
        <w:rPr>
          <w:lang w:val="en-US"/>
        </w:rPr>
        <w:lastRenderedPageBreak/>
        <w:t>enables installation to be up to 75 per cent faster than with conventional systems. The three-pole fuse holders, designed to accommodate up to three fuses, mount directly and securely to the RiLineX board without the need for tools or adaptors. No tools are required to fit the fuses either. The design and construction of the fuse holders also ensures a high level of occupational safety. As the circuit is only complete once the circuit breaker is fully closed, the design ensures that there is no voltage while the fuses are being fitted or removed. In addition, the electrical connectors are protected against accidental contact even when the cover is open.</w:t>
      </w:r>
    </w:p>
    <w:p w14:paraId="5B4733AB" w14:textId="77777777" w:rsidR="00A36608" w:rsidRPr="00A36608" w:rsidRDefault="00A36608" w:rsidP="00A36608">
      <w:pPr>
        <w:pStyle w:val="Copytext"/>
        <w:jc w:val="both"/>
        <w:rPr>
          <w:lang w:val="en-US"/>
        </w:rPr>
      </w:pPr>
    </w:p>
    <w:p w14:paraId="55961A0F" w14:textId="7A3B7154" w:rsidR="00A36608" w:rsidRPr="00A36608" w:rsidRDefault="00A36608" w:rsidP="00A36608">
      <w:pPr>
        <w:pStyle w:val="Copytext"/>
        <w:jc w:val="both"/>
        <w:rPr>
          <w:lang w:val="en-US"/>
        </w:rPr>
      </w:pPr>
      <w:r w:rsidRPr="00A36608">
        <w:rPr>
          <w:lang w:val="en-US"/>
        </w:rPr>
        <w:t xml:space="preserve">How is that achieved? In the case of larger Class J fuse holders up to 100 A, the fuses are inserted into a holder in the cover and are only pressed into position when the cover is closed – this means that the circuit is only completed once the cover is shut. This feature allows for tool-free operation, provides protection against accidental contact, and ensures that the circuit is automatically disconnected when the cover is opened and when fuses are inserted or removed. When the cover is open, the electrical contacts are recessed in such a way that accidental contact is virtually impossible. The smaller fuse holders, which are 18 mm wide and designed for Class CC fuses up to 30 A, ensure safety by means of latches that automatically disconnect the circuit and cover the electrical contacts when opened. </w:t>
      </w:r>
      <w:r w:rsidR="00B515D9" w:rsidRPr="00B515D9">
        <w:rPr>
          <w:lang w:val="en-US"/>
        </w:rPr>
        <w:t xml:space="preserve">The </w:t>
      </w:r>
      <w:proofErr w:type="spellStart"/>
      <w:r w:rsidR="00B515D9" w:rsidRPr="00B515D9">
        <w:rPr>
          <w:lang w:val="en-US"/>
        </w:rPr>
        <w:t>Fuseholder</w:t>
      </w:r>
      <w:proofErr w:type="spellEnd"/>
      <w:r w:rsidR="00B515D9" w:rsidRPr="00B515D9">
        <w:rPr>
          <w:lang w:val="en-US"/>
        </w:rPr>
        <w:t xml:space="preserve"> Class CC is also available in a version with integrated electronic fuse monitoring, which increases the unit’s width by just 9 mm. “By quickly detecting a defective fuse, a service technician can restore the power supply much more quickly and thus reduce downtime,” adds Volker Schmidt, Head of </w:t>
      </w:r>
      <w:proofErr w:type="spellStart"/>
      <w:r w:rsidR="00B515D9" w:rsidRPr="00B515D9">
        <w:rPr>
          <w:lang w:val="en-US"/>
        </w:rPr>
        <w:t>RiLine</w:t>
      </w:r>
      <w:proofErr w:type="spellEnd"/>
      <w:r w:rsidR="00B515D9" w:rsidRPr="00B515D9">
        <w:rPr>
          <w:lang w:val="en-US"/>
        </w:rPr>
        <w:t xml:space="preserve"> Product Management at Rittal</w:t>
      </w:r>
      <w:r w:rsidR="00F513BA">
        <w:rPr>
          <w:lang w:val="en-US"/>
        </w:rPr>
        <w:t>.</w:t>
      </w:r>
    </w:p>
    <w:p w14:paraId="7A72A3B6" w14:textId="77777777" w:rsidR="00A36608" w:rsidRPr="00A36608" w:rsidRDefault="00A36608" w:rsidP="00A36608">
      <w:pPr>
        <w:widowControl/>
        <w:autoSpaceDE/>
        <w:autoSpaceDN/>
        <w:adjustRightInd/>
        <w:spacing w:after="200" w:line="0" w:lineRule="auto"/>
        <w:rPr>
          <w:bCs/>
          <w:color w:val="000000" w:themeColor="text1"/>
          <w:sz w:val="20"/>
          <w:szCs w:val="20"/>
          <w:lang w:val="en-US"/>
        </w:rPr>
      </w:pPr>
      <w:r w:rsidRPr="00A36608">
        <w:rPr>
          <w:lang w:val="en-US"/>
        </w:rPr>
        <w:br w:type="page"/>
      </w:r>
    </w:p>
    <w:p w14:paraId="1AFF7D66" w14:textId="522E9FD4" w:rsidR="00A36608" w:rsidRPr="00A36608" w:rsidRDefault="00A36608" w:rsidP="00A36608">
      <w:pPr>
        <w:pStyle w:val="Copytext"/>
        <w:jc w:val="both"/>
        <w:rPr>
          <w:lang w:val="en-US"/>
        </w:rPr>
      </w:pPr>
    </w:p>
    <w:p w14:paraId="567A6455" w14:textId="38594BAF" w:rsidR="00A36608" w:rsidRPr="00A36608" w:rsidRDefault="00A36608" w:rsidP="00A36608">
      <w:pPr>
        <w:pStyle w:val="Copytext"/>
        <w:jc w:val="both"/>
        <w:rPr>
          <w:lang w:val="en-US"/>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A36608" w:rsidRPr="00376C7E" w14:paraId="440D74D3" w14:textId="77777777" w:rsidTr="00071DE2">
        <w:trPr>
          <w:trHeight w:hRule="exact" w:val="2494"/>
        </w:trPr>
        <w:tc>
          <w:tcPr>
            <w:tcW w:w="3685" w:type="dxa"/>
            <w:tcMar>
              <w:left w:w="0" w:type="dxa"/>
              <w:right w:w="0" w:type="dxa"/>
            </w:tcMar>
            <w:vAlign w:val="bottom"/>
          </w:tcPr>
          <w:p w14:paraId="3067E626" w14:textId="313D7F3C" w:rsidR="00A36608" w:rsidRPr="00AE4607" w:rsidRDefault="00A36608" w:rsidP="00071DE2">
            <w:pPr>
              <w:pStyle w:val="Bu-Bildanker"/>
            </w:pPr>
            <w:r>
              <w:rPr>
                <w:noProof/>
              </w:rPr>
              <w:drawing>
                <wp:anchor distT="0" distB="0" distL="114300" distR="114300" simplePos="0" relativeHeight="251659264" behindDoc="0" locked="0" layoutInCell="1" allowOverlap="1" wp14:anchorId="5CB77673" wp14:editId="6D9AC52C">
                  <wp:simplePos x="0" y="0"/>
                  <wp:positionH relativeFrom="column">
                    <wp:posOffset>10160</wp:posOffset>
                  </wp:positionH>
                  <wp:positionV relativeFrom="paragraph">
                    <wp:posOffset>-929005</wp:posOffset>
                  </wp:positionV>
                  <wp:extent cx="1892300" cy="1732915"/>
                  <wp:effectExtent l="0" t="0" r="0" b="635"/>
                  <wp:wrapNone/>
                  <wp:docPr id="1580143445" name="Grafik 1" descr="Ein Bild, das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43445" name="Grafik 1" descr="Ein Bild, das Maschine enthält.&#10;&#10;KI-generierte Inhalte können fehlerhaft sein."/>
                          <pic:cNvPicPr/>
                        </pic:nvPicPr>
                        <pic:blipFill rotWithShape="1">
                          <a:blip r:embed="rId11"/>
                          <a:srcRect r="25049"/>
                          <a:stretch/>
                        </pic:blipFill>
                        <pic:spPr bwMode="auto">
                          <a:xfrm>
                            <a:off x="0" y="0"/>
                            <a:ext cx="1892300" cy="1732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1CF50E68" w14:textId="19C2CE79" w:rsidR="00A36608" w:rsidRPr="00A36608" w:rsidRDefault="00A36608" w:rsidP="00071DE2">
            <w:pPr>
              <w:pStyle w:val="Bu-Bildanker"/>
            </w:pPr>
          </w:p>
        </w:tc>
        <w:tc>
          <w:tcPr>
            <w:tcW w:w="3685" w:type="dxa"/>
            <w:tcMar>
              <w:left w:w="0" w:type="dxa"/>
              <w:right w:w="0" w:type="dxa"/>
            </w:tcMar>
          </w:tcPr>
          <w:p w14:paraId="00367404" w14:textId="3DBDA0A4" w:rsidR="00A36608" w:rsidRPr="00A36608" w:rsidRDefault="00875457" w:rsidP="00071DE2">
            <w:pPr>
              <w:pStyle w:val="Bu-Bildanker"/>
            </w:pPr>
            <w:r>
              <w:rPr>
                <w:noProof/>
              </w:rPr>
              <w:drawing>
                <wp:anchor distT="0" distB="0" distL="114300" distR="114300" simplePos="0" relativeHeight="251661312" behindDoc="0" locked="0" layoutInCell="1" allowOverlap="1" wp14:anchorId="4FD3B1DD" wp14:editId="06900FC1">
                  <wp:simplePos x="0" y="0"/>
                  <wp:positionH relativeFrom="column">
                    <wp:posOffset>16510</wp:posOffset>
                  </wp:positionH>
                  <wp:positionV relativeFrom="paragraph">
                    <wp:posOffset>-95565</wp:posOffset>
                  </wp:positionV>
                  <wp:extent cx="2344903" cy="1598966"/>
                  <wp:effectExtent l="0" t="0" r="0" b="1270"/>
                  <wp:wrapNone/>
                  <wp:docPr id="11500605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4903" cy="1598966"/>
                          </a:xfrm>
                          <a:prstGeom prst="rect">
                            <a:avLst/>
                          </a:prstGeom>
                          <a:noFill/>
                        </pic:spPr>
                      </pic:pic>
                    </a:graphicData>
                  </a:graphic>
                  <wp14:sizeRelH relativeFrom="margin">
                    <wp14:pctWidth>0</wp14:pctWidth>
                  </wp14:sizeRelH>
                  <wp14:sizeRelV relativeFrom="margin">
                    <wp14:pctHeight>0</wp14:pctHeight>
                  </wp14:sizeRelV>
                </wp:anchor>
              </w:drawing>
            </w:r>
          </w:p>
        </w:tc>
      </w:tr>
      <w:tr w:rsidR="00A36608" w:rsidRPr="00376C7E" w14:paraId="0962FE5F" w14:textId="77777777" w:rsidTr="00071DE2">
        <w:tc>
          <w:tcPr>
            <w:tcW w:w="3685" w:type="dxa"/>
            <w:tcMar>
              <w:left w:w="0" w:type="dxa"/>
              <w:right w:w="0" w:type="dxa"/>
            </w:tcMar>
          </w:tcPr>
          <w:p w14:paraId="5347A569" w14:textId="77777777" w:rsidR="00A36608" w:rsidRPr="00A36608" w:rsidRDefault="00A36608" w:rsidP="00071DE2">
            <w:pPr>
              <w:pStyle w:val="BU-Head"/>
              <w:rPr>
                <w:lang w:val="en-US"/>
              </w:rPr>
            </w:pPr>
            <w:r w:rsidRPr="00A36608">
              <w:rPr>
                <w:lang w:val="en-US"/>
              </w:rPr>
              <w:t>Image 1</w:t>
            </w:r>
          </w:p>
          <w:p w14:paraId="7EA17E70" w14:textId="77777777" w:rsidR="00A36608" w:rsidRPr="00A36608" w:rsidRDefault="00A36608" w:rsidP="00071DE2">
            <w:pPr>
              <w:pStyle w:val="BU"/>
              <w:rPr>
                <w:spacing w:val="-5"/>
                <w:lang w:val="en-US"/>
              </w:rPr>
            </w:pPr>
            <w:r w:rsidRPr="00A36608">
              <w:rPr>
                <w:lang w:val="en-US"/>
              </w:rPr>
              <w:t>Tool-free, quick and direct fuse mounting on RiLineX busbar system: New UL-certified and approved fuse holders from Rittal, shown here for J Class up to 100 A.</w:t>
            </w:r>
          </w:p>
        </w:tc>
        <w:tc>
          <w:tcPr>
            <w:tcW w:w="283" w:type="dxa"/>
            <w:tcMar>
              <w:left w:w="0" w:type="dxa"/>
              <w:right w:w="0" w:type="dxa"/>
            </w:tcMar>
          </w:tcPr>
          <w:p w14:paraId="147C91F7" w14:textId="09B965D4" w:rsidR="00A36608" w:rsidRPr="00A36608" w:rsidRDefault="00A36608" w:rsidP="00071DE2">
            <w:pPr>
              <w:pStyle w:val="Copytext"/>
              <w:rPr>
                <w:lang w:val="en-US"/>
              </w:rPr>
            </w:pPr>
          </w:p>
        </w:tc>
        <w:tc>
          <w:tcPr>
            <w:tcW w:w="3685" w:type="dxa"/>
            <w:tcMar>
              <w:left w:w="0" w:type="dxa"/>
              <w:right w:w="0" w:type="dxa"/>
            </w:tcMar>
          </w:tcPr>
          <w:p w14:paraId="09F86D34" w14:textId="714059F8" w:rsidR="00A36608" w:rsidRPr="00A36608" w:rsidRDefault="00A36608" w:rsidP="00071DE2">
            <w:pPr>
              <w:pStyle w:val="BU-Head"/>
              <w:rPr>
                <w:lang w:val="en-US"/>
              </w:rPr>
            </w:pPr>
            <w:r w:rsidRPr="00A36608">
              <w:rPr>
                <w:lang w:val="en-US"/>
              </w:rPr>
              <w:t>Image 2</w:t>
            </w:r>
          </w:p>
          <w:p w14:paraId="1A820769" w14:textId="41A2E9A8" w:rsidR="00A36608" w:rsidRPr="00A36608" w:rsidRDefault="002D3CA2" w:rsidP="00071DE2">
            <w:pPr>
              <w:pStyle w:val="BU"/>
              <w:rPr>
                <w:lang w:val="en-US"/>
              </w:rPr>
            </w:pPr>
            <w:r>
              <w:rPr>
                <w:lang w:val="en-US"/>
              </w:rPr>
              <w:t xml:space="preserve">Dr </w:t>
            </w:r>
            <w:r w:rsidR="00A36608" w:rsidRPr="00A36608">
              <w:rPr>
                <w:lang w:val="en-US"/>
              </w:rPr>
              <w:t xml:space="preserve">Christian Maryska, </w:t>
            </w:r>
            <w:r w:rsidR="008610E2">
              <w:rPr>
                <w:lang w:val="en-US"/>
              </w:rPr>
              <w:t>Vice President Business Unit Energy &amp; Power Solution</w:t>
            </w:r>
            <w:r>
              <w:rPr>
                <w:lang w:val="en-US"/>
              </w:rPr>
              <w:t>s</w:t>
            </w:r>
            <w:r w:rsidR="00A36608" w:rsidRPr="00A36608">
              <w:rPr>
                <w:lang w:val="en-US"/>
              </w:rPr>
              <w:t>, Rittal: “UL compliance is in demand not only within the US domestic market, but also from an international supplier’s perspective.” Our customers in Europe and Asia operate at a highly international level.”</w:t>
            </w:r>
          </w:p>
        </w:tc>
      </w:tr>
    </w:tbl>
    <w:p w14:paraId="35C530F8" w14:textId="0F0E8C3B" w:rsidR="00A36608" w:rsidRPr="00A36608" w:rsidRDefault="00A36608" w:rsidP="00A36608">
      <w:pPr>
        <w:pStyle w:val="BU"/>
        <w:rPr>
          <w:lang w:val="en-US"/>
        </w:rPr>
      </w:pPr>
    </w:p>
    <w:p w14:paraId="68F4653F" w14:textId="1AF5145D" w:rsidR="00A36608" w:rsidRPr="00A36608" w:rsidRDefault="00A36608" w:rsidP="00A36608">
      <w:pPr>
        <w:pStyle w:val="BU"/>
        <w:rPr>
          <w:lang w:val="en-US"/>
        </w:rPr>
      </w:pPr>
    </w:p>
    <w:p w14:paraId="02DD02D9" w14:textId="640C0F8E" w:rsidR="00A36608" w:rsidRPr="00A36608" w:rsidRDefault="00A36608" w:rsidP="00A36608">
      <w:pPr>
        <w:pStyle w:val="BU"/>
        <w:rPr>
          <w:lang w:val="en-US"/>
        </w:rPr>
      </w:pPr>
    </w:p>
    <w:p w14:paraId="73C2F3F4" w14:textId="77777777" w:rsidR="00A36608" w:rsidRPr="00A36608" w:rsidRDefault="00A36608" w:rsidP="00A36608">
      <w:pPr>
        <w:pStyle w:val="BU"/>
        <w:rPr>
          <w:lang w:val="en-US"/>
        </w:rPr>
      </w:pPr>
      <w:r>
        <w:rPr>
          <w:noProof/>
        </w:rPr>
        <w:drawing>
          <wp:anchor distT="0" distB="0" distL="114300" distR="114300" simplePos="0" relativeHeight="251660288" behindDoc="0" locked="0" layoutInCell="1" allowOverlap="1" wp14:anchorId="3487C401" wp14:editId="261DF6DF">
            <wp:simplePos x="0" y="0"/>
            <wp:positionH relativeFrom="margin">
              <wp:posOffset>39701</wp:posOffset>
            </wp:positionH>
            <wp:positionV relativeFrom="paragraph">
              <wp:posOffset>18415</wp:posOffset>
            </wp:positionV>
            <wp:extent cx="1390772" cy="1693628"/>
            <wp:effectExtent l="0" t="0" r="0" b="1905"/>
            <wp:wrapNone/>
            <wp:docPr id="2096534976" name="Grafik 1" descr="Ein Bild, das Screenshot, 3D-Modellier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534976" name="Grafik 1" descr="Ein Bild, das Screenshot, 3D-Modellierung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r="46348"/>
                    <a:stretch/>
                  </pic:blipFill>
                  <pic:spPr bwMode="auto">
                    <a:xfrm>
                      <a:off x="0" y="0"/>
                      <a:ext cx="1390772" cy="16936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15CF88" w14:textId="77777777" w:rsidR="00A36608" w:rsidRPr="00A36608" w:rsidRDefault="00A36608" w:rsidP="00A36608">
      <w:pPr>
        <w:pStyle w:val="BU"/>
        <w:rPr>
          <w:lang w:val="en-US"/>
        </w:rPr>
      </w:pPr>
    </w:p>
    <w:p w14:paraId="74C75092" w14:textId="77777777" w:rsidR="00A36608" w:rsidRPr="00A36608" w:rsidRDefault="00A36608" w:rsidP="00A36608">
      <w:pPr>
        <w:pStyle w:val="BU"/>
        <w:rPr>
          <w:lang w:val="en-US"/>
        </w:rPr>
      </w:pPr>
    </w:p>
    <w:p w14:paraId="1D6AEBC6" w14:textId="77777777" w:rsidR="00A36608" w:rsidRPr="00A36608" w:rsidRDefault="00A36608" w:rsidP="00A36608">
      <w:pPr>
        <w:pStyle w:val="BU"/>
        <w:rPr>
          <w:lang w:val="en-US"/>
        </w:rPr>
      </w:pPr>
    </w:p>
    <w:p w14:paraId="29E3D2CA" w14:textId="77777777" w:rsidR="00A36608" w:rsidRPr="00A36608" w:rsidRDefault="00A36608" w:rsidP="00A36608">
      <w:pPr>
        <w:pStyle w:val="BU"/>
        <w:rPr>
          <w:lang w:val="en-US"/>
        </w:rPr>
      </w:pPr>
    </w:p>
    <w:p w14:paraId="241A4A47" w14:textId="77777777" w:rsidR="00A36608" w:rsidRPr="00A36608" w:rsidRDefault="00A36608" w:rsidP="00A36608">
      <w:pPr>
        <w:pStyle w:val="BU"/>
        <w:rPr>
          <w:lang w:val="en-US"/>
        </w:rPr>
      </w:pPr>
    </w:p>
    <w:p w14:paraId="1FA056CB" w14:textId="77777777" w:rsidR="00A36608" w:rsidRPr="00A36608" w:rsidRDefault="00A36608" w:rsidP="00A36608">
      <w:pPr>
        <w:pStyle w:val="BU"/>
        <w:rPr>
          <w:lang w:val="en-US"/>
        </w:rPr>
      </w:pPr>
    </w:p>
    <w:p w14:paraId="652E6AC8" w14:textId="77777777" w:rsidR="00A36608" w:rsidRPr="00A36608" w:rsidRDefault="00A36608" w:rsidP="00A36608">
      <w:pPr>
        <w:pStyle w:val="BU"/>
        <w:rPr>
          <w:lang w:val="en-US"/>
        </w:rPr>
      </w:pPr>
    </w:p>
    <w:p w14:paraId="40C36DF9" w14:textId="77777777" w:rsidR="00A36608" w:rsidRPr="00A36608" w:rsidRDefault="00A36608" w:rsidP="00A36608">
      <w:pPr>
        <w:pStyle w:val="BU"/>
        <w:rPr>
          <w:lang w:val="en-US"/>
        </w:rPr>
      </w:pPr>
    </w:p>
    <w:p w14:paraId="245EB1D7" w14:textId="77777777" w:rsidR="00A36608" w:rsidRPr="00A36608" w:rsidRDefault="00A36608" w:rsidP="00A36608">
      <w:pPr>
        <w:pStyle w:val="BU"/>
        <w:rPr>
          <w:lang w:val="en-US"/>
        </w:rPr>
      </w:pPr>
    </w:p>
    <w:p w14:paraId="5FD94A6A" w14:textId="77777777" w:rsidR="00A36608" w:rsidRPr="00A36608" w:rsidRDefault="00A36608" w:rsidP="00A36608">
      <w:pPr>
        <w:pStyle w:val="BU"/>
        <w:rPr>
          <w:lang w:val="en-US"/>
        </w:rPr>
      </w:pPr>
    </w:p>
    <w:p w14:paraId="2E089F06" w14:textId="77777777" w:rsidR="00A36608" w:rsidRPr="00A36608" w:rsidRDefault="00A36608" w:rsidP="00A36608">
      <w:pPr>
        <w:pStyle w:val="BU"/>
        <w:rPr>
          <w:lang w:val="en-US"/>
        </w:rPr>
      </w:pPr>
    </w:p>
    <w:p w14:paraId="1BC96CD8" w14:textId="77777777" w:rsidR="00A36608" w:rsidRPr="00A36608" w:rsidRDefault="00A36608" w:rsidP="00A36608">
      <w:pPr>
        <w:pStyle w:val="BU"/>
        <w:rPr>
          <w:lang w:val="en-US"/>
        </w:rPr>
      </w:pPr>
    </w:p>
    <w:p w14:paraId="19614EC5" w14:textId="77777777" w:rsidR="00A36608" w:rsidRPr="00A36608" w:rsidRDefault="00A36608" w:rsidP="00A36608">
      <w:pPr>
        <w:pStyle w:val="BU"/>
        <w:rPr>
          <w:b/>
          <w:bCs w:val="0"/>
          <w:lang w:val="en-US"/>
        </w:rPr>
      </w:pPr>
      <w:r w:rsidRPr="00A36608">
        <w:rPr>
          <w:b/>
          <w:lang w:val="en-US"/>
        </w:rPr>
        <w:t>Image 3</w:t>
      </w:r>
    </w:p>
    <w:p w14:paraId="4517AD2A" w14:textId="77777777" w:rsidR="00A36608" w:rsidRPr="00A36608" w:rsidRDefault="00A36608" w:rsidP="00A36608">
      <w:pPr>
        <w:pStyle w:val="BU"/>
        <w:rPr>
          <w:b/>
          <w:bCs w:val="0"/>
          <w:lang w:val="en-US"/>
        </w:rPr>
      </w:pPr>
      <w:r w:rsidRPr="00A36608">
        <w:rPr>
          <w:lang w:val="en-US"/>
        </w:rPr>
        <w:t>Narrow fuse holders for Class CC fuses up to 30 A: fuses arranged in a space-saving 18 mm width.</w:t>
      </w:r>
    </w:p>
    <w:p w14:paraId="385AF6AE" w14:textId="77777777" w:rsidR="00A36608" w:rsidRPr="00A36608" w:rsidRDefault="00A36608" w:rsidP="00A36608">
      <w:pPr>
        <w:pStyle w:val="BU"/>
        <w:rPr>
          <w:lang w:val="en-US"/>
        </w:rPr>
      </w:pPr>
    </w:p>
    <w:p w14:paraId="14B6438F" w14:textId="77777777" w:rsidR="00A36608" w:rsidRPr="00A36608" w:rsidRDefault="00A36608" w:rsidP="00A36608">
      <w:pPr>
        <w:pStyle w:val="BU"/>
        <w:rPr>
          <w:lang w:val="en-US"/>
        </w:rPr>
      </w:pPr>
      <w:r w:rsidRPr="00A36608">
        <w:rPr>
          <w:lang w:val="en-US"/>
        </w:rPr>
        <w:t>May be reproduced free of charge. Please name Rittal GmbH &amp; Co. KG as the source</w:t>
      </w:r>
    </w:p>
    <w:p w14:paraId="2F4A9054" w14:textId="77777777" w:rsidR="00A36608" w:rsidRPr="00A36608" w:rsidRDefault="00A36608" w:rsidP="00A36608">
      <w:pPr>
        <w:pStyle w:val="Unternehmensportrait-H2"/>
        <w:rPr>
          <w:sz w:val="20"/>
          <w:lang w:val="en-US"/>
        </w:rPr>
      </w:pPr>
      <w:r w:rsidRPr="00A36608">
        <w:rPr>
          <w:lang w:val="en-US"/>
        </w:rPr>
        <w:br w:type="page"/>
      </w:r>
    </w:p>
    <w:p w14:paraId="5A8FB603" w14:textId="77777777" w:rsidR="00A36608" w:rsidRPr="00A36608" w:rsidRDefault="00A36608" w:rsidP="00A36608">
      <w:pPr>
        <w:pStyle w:val="Unternehmensportrait-H1"/>
        <w:rPr>
          <w:lang w:val="en-US"/>
        </w:rPr>
      </w:pPr>
      <w:r w:rsidRPr="00A36608">
        <w:rPr>
          <w:lang w:val="en-US"/>
        </w:rPr>
        <w:lastRenderedPageBreak/>
        <w:t>Rittal</w:t>
      </w:r>
    </w:p>
    <w:p w14:paraId="56468694" w14:textId="77777777" w:rsidR="00A36608" w:rsidRPr="00A36608" w:rsidRDefault="00A36608" w:rsidP="00A36608">
      <w:pPr>
        <w:pStyle w:val="Unternehmensportrait-Linie"/>
        <w:rPr>
          <w:lang w:val="en-US"/>
        </w:rPr>
      </w:pPr>
    </w:p>
    <w:p w14:paraId="6AA5AE69" w14:textId="77777777" w:rsidR="00A36608" w:rsidRPr="00A36608" w:rsidRDefault="00A36608" w:rsidP="00A36608">
      <w:pPr>
        <w:pStyle w:val="Unternehmensportrait"/>
        <w:jc w:val="left"/>
        <w:rPr>
          <w:lang w:val="en-US"/>
        </w:rPr>
      </w:pPr>
      <w:r w:rsidRPr="00A36608">
        <w:rPr>
          <w:lang w:val="en-US"/>
        </w:rPr>
        <w:t>Rittal is a leading global supplier of enclosure systems, automation and infrastructure with its industrial, IT, energy and power, cooling and service units. Rittal products and solutions are used in over 90% of global industries – standardised, customised, and always of the very best quality.</w:t>
      </w:r>
    </w:p>
    <w:p w14:paraId="7120D965" w14:textId="77777777" w:rsidR="00A36608" w:rsidRPr="00A36608" w:rsidRDefault="00A36608" w:rsidP="00A36608">
      <w:pPr>
        <w:pStyle w:val="Unternehmensportrait"/>
        <w:jc w:val="left"/>
        <w:rPr>
          <w:lang w:val="en-US"/>
        </w:rPr>
      </w:pPr>
    </w:p>
    <w:p w14:paraId="1440DD13" w14:textId="77777777" w:rsidR="00A36608" w:rsidRPr="00A36608" w:rsidRDefault="00A36608" w:rsidP="00A36608">
      <w:pPr>
        <w:pStyle w:val="Unternehmensportrait"/>
        <w:jc w:val="left"/>
        <w:rPr>
          <w:lang w:val="en-US"/>
        </w:rPr>
      </w:pPr>
      <w:r w:rsidRPr="00A36608">
        <w:rPr>
          <w:lang w:val="en-US"/>
        </w:rPr>
        <w:t>Our approach and methodology: Rittal, Rittal Software Systems (Eplan and Cideon) and Rittal Automation Systems (RAS, Ehrt and Alfra) combine their hardware and software expertise to streamline, optimise and industrialise processes across the entire value chain of their customers including their IT infrastructure – from control and switchgear construction, machine building to manufacturing companies or the energy sector.</w:t>
      </w:r>
    </w:p>
    <w:p w14:paraId="176DCC3D" w14:textId="77777777" w:rsidR="00A36608" w:rsidRPr="00A36608" w:rsidRDefault="00A36608" w:rsidP="00A36608">
      <w:pPr>
        <w:pStyle w:val="Unternehmensportrait"/>
        <w:jc w:val="left"/>
        <w:rPr>
          <w:lang w:val="en-US"/>
        </w:rPr>
      </w:pPr>
    </w:p>
    <w:p w14:paraId="6A410BB0" w14:textId="77777777" w:rsidR="00A36608" w:rsidRPr="00A36608" w:rsidRDefault="00A36608" w:rsidP="00A36608">
      <w:pPr>
        <w:pStyle w:val="Unternehmensportrait"/>
        <w:jc w:val="left"/>
        <w:rPr>
          <w:lang w:val="en-US"/>
        </w:rPr>
      </w:pPr>
      <w:r w:rsidRPr="00A36608">
        <w:rPr>
          <w:lang w:val="en-US"/>
        </w:rPr>
        <w:t>Our delivery promise: Rittal standard products are delivered in Germany within 24 hours, and within 48 hours throughout Europe.</w:t>
      </w:r>
    </w:p>
    <w:p w14:paraId="5C6A3C5F" w14:textId="77777777" w:rsidR="00A36608" w:rsidRPr="00A36608" w:rsidRDefault="00A36608" w:rsidP="00A36608">
      <w:pPr>
        <w:pStyle w:val="Unternehmensportrait-H2"/>
        <w:rPr>
          <w:spacing w:val="-2"/>
          <w:lang w:val="en-US"/>
        </w:rPr>
      </w:pPr>
      <w:r w:rsidRPr="00A36608">
        <w:rPr>
          <w:lang w:val="en-US"/>
        </w:rPr>
        <w:t>Customer focus</w:t>
      </w:r>
    </w:p>
    <w:p w14:paraId="729AF5C1" w14:textId="77777777" w:rsidR="00A36608" w:rsidRPr="00A36608" w:rsidRDefault="00A36608" w:rsidP="00A36608">
      <w:pPr>
        <w:pStyle w:val="Unternehmensportrait"/>
        <w:jc w:val="left"/>
        <w:rPr>
          <w:lang w:val="en-US"/>
        </w:rPr>
      </w:pPr>
      <w:r w:rsidRPr="00A36608">
        <w:rPr>
          <w:lang w:val="en-US"/>
        </w:rPr>
        <w:t>Improving efficiency and increasing productivity through automation and digitalisation is one of the biggest challenges for our customers. This requires in-depth knowledge and expertise, the combination of hardware and software, and cross-sector networking. We are convinced that creating and connecting data rooms is crucial to the success of industrial transformation. And that is exactly our speciality and field of competence.</w:t>
      </w:r>
    </w:p>
    <w:p w14:paraId="3DD2E6DF" w14:textId="77777777" w:rsidR="00A36608" w:rsidRPr="00A36608" w:rsidRDefault="00A36608" w:rsidP="00A36608">
      <w:pPr>
        <w:pStyle w:val="Unternehmensportrait"/>
        <w:jc w:val="left"/>
        <w:rPr>
          <w:lang w:val="en-US"/>
        </w:rPr>
      </w:pPr>
    </w:p>
    <w:p w14:paraId="5EEFD94B" w14:textId="77777777" w:rsidR="00A36608" w:rsidRPr="00A36608" w:rsidRDefault="00A36608" w:rsidP="00A36608">
      <w:pPr>
        <w:pStyle w:val="Unternehmensportrait"/>
        <w:jc w:val="left"/>
        <w:rPr>
          <w:lang w:val="en-US"/>
        </w:rPr>
      </w:pPr>
      <w:r w:rsidRPr="00A36608">
        <w:rPr>
          <w:lang w:val="en-US"/>
        </w:rPr>
        <w:t>Eplan and Rittal are driving the development of the digital automation twin, making data accessible and useable in operations as well. Cideon is improving data consistency in the digital product twin context with its CAD/CAM, PDM/PLM and product configuration expertise.</w:t>
      </w:r>
    </w:p>
    <w:p w14:paraId="326FFBBF" w14:textId="77777777" w:rsidR="00A36608" w:rsidRPr="00A36608" w:rsidRDefault="00A36608" w:rsidP="00A36608">
      <w:pPr>
        <w:pStyle w:val="Unternehmensportrait-H2"/>
        <w:rPr>
          <w:lang w:val="en-US"/>
        </w:rPr>
      </w:pPr>
      <w:r w:rsidRPr="00A36608">
        <w:rPr>
          <w:lang w:val="en-US"/>
        </w:rPr>
        <w:t>Sustainability</w:t>
      </w:r>
    </w:p>
    <w:p w14:paraId="0D199EA3" w14:textId="77777777" w:rsidR="00A36608" w:rsidRPr="00A36608" w:rsidRDefault="00A36608" w:rsidP="00A36608">
      <w:pPr>
        <w:pStyle w:val="Unternehmensportrait"/>
        <w:jc w:val="left"/>
        <w:rPr>
          <w:lang w:val="en-US"/>
        </w:rPr>
      </w:pPr>
      <w:r w:rsidRPr="00A36608">
        <w:rPr>
          <w:lang w:val="en-US"/>
        </w:rPr>
        <w:t>Environmental and climate protection, social responsibility and ethical corporate governance are a matter of course for Rittal. We take our ownership and accountability for a sustainable future seriously. Our commitment to resource management and conservation includes continuous improvement of our own production processes, minimising the carbon footprint of our products and providing solutions that support and help our customers to achieve their own climate goals.</w:t>
      </w:r>
    </w:p>
    <w:p w14:paraId="2AE79B4C" w14:textId="77777777" w:rsidR="00A36608" w:rsidRPr="00A36608" w:rsidRDefault="00A36608" w:rsidP="00A36608">
      <w:pPr>
        <w:pStyle w:val="Unternehmensportrait-H2"/>
        <w:rPr>
          <w:spacing w:val="-2"/>
          <w:lang w:val="en-US"/>
        </w:rPr>
      </w:pPr>
      <w:r w:rsidRPr="00A36608">
        <w:rPr>
          <w:lang w:val="en-US"/>
        </w:rPr>
        <w:t>Family business and global player</w:t>
      </w:r>
    </w:p>
    <w:p w14:paraId="123D8269" w14:textId="77777777" w:rsidR="00A36608" w:rsidRPr="00A36608" w:rsidRDefault="00A36608" w:rsidP="00A36608">
      <w:pPr>
        <w:pStyle w:val="Unternehmensportrait"/>
        <w:jc w:val="left"/>
        <w:rPr>
          <w:lang w:val="en-US"/>
        </w:rPr>
      </w:pPr>
      <w:r w:rsidRPr="00A36608">
        <w:rPr>
          <w:lang w:val="en-US"/>
        </w:rPr>
        <w:t>Founded in 1961, Rittal is the largest company in the owner-operated Friedhelm Loh Group. The group operates worldwide, with 13 production sites and 95 international subsidiaries. It has 12,600 employees and posted revenues of 3.1 billion euros in fiscal year 2024. In 2023, the Friedhelm Loh Group was presented with the “Best Place to Learn” and “Employer of the Future” awards. In 2026, Rittal was awarded the Top 100 Seal as one of Germany’s most innovative medium-sized companies for the fifth time in a row. In 2025, the Rittal plant in Haiger won overall first place in the independent and highly-prestigious “Factory of the Year” competition, which recognised it as a hallmark of manufacturing excellence and one of the very best factories in Europe.</w:t>
      </w:r>
    </w:p>
    <w:p w14:paraId="5CC0BAC7" w14:textId="77777777" w:rsidR="00A36608" w:rsidRPr="00A36608" w:rsidRDefault="00A36608" w:rsidP="00A36608">
      <w:pPr>
        <w:pStyle w:val="Unternehmensportrait"/>
        <w:jc w:val="left"/>
        <w:rPr>
          <w:lang w:val="en-US"/>
        </w:rPr>
      </w:pPr>
    </w:p>
    <w:p w14:paraId="68CA4CD1" w14:textId="77777777" w:rsidR="00A36608" w:rsidRPr="00A36608" w:rsidRDefault="00A36608" w:rsidP="00A36608">
      <w:pPr>
        <w:pStyle w:val="Unternehmensportrait"/>
        <w:jc w:val="left"/>
        <w:rPr>
          <w:spacing w:val="-2"/>
          <w:lang w:val="en-US"/>
        </w:rPr>
      </w:pPr>
      <w:r w:rsidRPr="00A36608">
        <w:rPr>
          <w:lang w:val="en-US"/>
        </w:rPr>
        <w:t>For more information, visit www.rittal.com and www.friedhelm-loh-group.com.</w:t>
      </w:r>
    </w:p>
    <w:p w14:paraId="33F1D6AD" w14:textId="77777777" w:rsidR="00A36608" w:rsidRPr="00A36608" w:rsidRDefault="00A36608" w:rsidP="00A36608">
      <w:pPr>
        <w:pStyle w:val="Unternehmensportrait-Linie"/>
        <w:rPr>
          <w:lang w:val="en-US"/>
        </w:rPr>
      </w:pPr>
    </w:p>
    <w:p w14:paraId="5FC58223" w14:textId="77777777" w:rsidR="00A36608" w:rsidRPr="00A36608" w:rsidRDefault="00A36608" w:rsidP="00A36608">
      <w:pPr>
        <w:pStyle w:val="Unternehmenkommunikation"/>
        <w:jc w:val="left"/>
        <w:rPr>
          <w:lang w:val="en-US"/>
        </w:rPr>
      </w:pPr>
    </w:p>
    <w:p w14:paraId="29D10295" w14:textId="77777777" w:rsidR="008F585B" w:rsidRPr="008F585B" w:rsidRDefault="008F585B" w:rsidP="008F585B">
      <w:pPr>
        <w:pStyle w:val="Unternehmenkommunikation"/>
        <w:jc w:val="left"/>
        <w:rPr>
          <w:lang w:val="en-US"/>
        </w:rPr>
      </w:pPr>
      <w:r w:rsidRPr="008F585B">
        <w:rPr>
          <w:lang w:val="en-US"/>
        </w:rPr>
        <w:t>Corporate &amp; Brand Communications</w:t>
      </w:r>
    </w:p>
    <w:p w14:paraId="525CD563" w14:textId="77777777" w:rsidR="008F585B" w:rsidRPr="008F585B" w:rsidRDefault="008F585B" w:rsidP="008F585B">
      <w:pPr>
        <w:pStyle w:val="Unternehmenkommunikation"/>
        <w:jc w:val="left"/>
        <w:rPr>
          <w:lang w:val="en-US"/>
        </w:rPr>
      </w:pPr>
    </w:p>
    <w:p w14:paraId="4E7306D6" w14:textId="77777777" w:rsidR="008F585B" w:rsidRPr="008F585B" w:rsidRDefault="008F585B" w:rsidP="008F585B">
      <w:pPr>
        <w:pStyle w:val="Unternehmenkommunikation"/>
        <w:jc w:val="left"/>
        <w:rPr>
          <w:lang w:val="en-US"/>
        </w:rPr>
      </w:pPr>
      <w:r w:rsidRPr="008F585B">
        <w:rPr>
          <w:lang w:val="en-US"/>
        </w:rPr>
        <w:t>Cornelia Müller                            Hans Robert Koch               Steffen Maltzan</w:t>
      </w:r>
    </w:p>
    <w:p w14:paraId="2DDA31B6" w14:textId="77777777" w:rsidR="008F585B" w:rsidRPr="00B515D9" w:rsidRDefault="008F585B" w:rsidP="008F585B">
      <w:pPr>
        <w:pStyle w:val="Unternehmenkommunikation"/>
        <w:jc w:val="left"/>
        <w:rPr>
          <w:lang w:val="en-US"/>
        </w:rPr>
      </w:pPr>
      <w:r w:rsidRPr="008F585B">
        <w:rPr>
          <w:lang w:val="en-US"/>
        </w:rPr>
        <w:t xml:space="preserve">Tel. +49 2772 505-2527              Tel. +49 2772 505-2693      Tel. </w:t>
      </w:r>
      <w:r w:rsidRPr="00B515D9">
        <w:rPr>
          <w:lang w:val="en-US"/>
        </w:rPr>
        <w:t>+49 2772 505-2680</w:t>
      </w:r>
    </w:p>
    <w:p w14:paraId="26B1D129" w14:textId="4AE21E40" w:rsidR="008F585B" w:rsidRPr="00B515D9" w:rsidRDefault="00B111ED" w:rsidP="008F585B">
      <w:pPr>
        <w:pStyle w:val="Unternehmenkommunikation"/>
        <w:jc w:val="left"/>
        <w:rPr>
          <w:lang w:val="en-US"/>
        </w:rPr>
      </w:pPr>
      <w:r w:rsidRPr="00B515D9">
        <w:rPr>
          <w:lang w:val="en-US"/>
        </w:rPr>
        <w:t>M</w:t>
      </w:r>
      <w:r w:rsidR="008F585B" w:rsidRPr="00B515D9">
        <w:rPr>
          <w:lang w:val="en-US"/>
        </w:rPr>
        <w:t xml:space="preserve">ail: </w:t>
      </w:r>
      <w:hyperlink r:id="rId14" w:history="1">
        <w:r w:rsidR="008F585B" w:rsidRPr="00B515D9">
          <w:rPr>
            <w:rStyle w:val="Hyperlink"/>
            <w:lang w:val="en-US"/>
          </w:rPr>
          <w:t>mueller.co@rittal.de</w:t>
        </w:r>
      </w:hyperlink>
      <w:r w:rsidRPr="00B515D9">
        <w:rPr>
          <w:lang w:val="en-US"/>
        </w:rPr>
        <w:tab/>
      </w:r>
      <w:r w:rsidR="008F585B" w:rsidRPr="00B515D9">
        <w:rPr>
          <w:lang w:val="en-US"/>
        </w:rPr>
        <w:t xml:space="preserve">        Mail: </w:t>
      </w:r>
      <w:hyperlink r:id="rId15" w:history="1">
        <w:r w:rsidR="008F585B" w:rsidRPr="00B515D9">
          <w:rPr>
            <w:rStyle w:val="Hyperlink"/>
            <w:lang w:val="en-US"/>
          </w:rPr>
          <w:t>koch.hr@rittal.de</w:t>
        </w:r>
      </w:hyperlink>
      <w:r w:rsidR="008F585B" w:rsidRPr="00B515D9">
        <w:rPr>
          <w:lang w:val="en-US"/>
        </w:rPr>
        <w:t xml:space="preserve">         Mail: </w:t>
      </w:r>
      <w:hyperlink r:id="rId16" w:history="1">
        <w:r w:rsidR="008F585B" w:rsidRPr="00B515D9">
          <w:rPr>
            <w:rStyle w:val="Hyperlink"/>
            <w:lang w:val="en-US"/>
          </w:rPr>
          <w:t>maltzan.s@rittal.de</w:t>
        </w:r>
      </w:hyperlink>
    </w:p>
    <w:p w14:paraId="0EB1D4A9" w14:textId="77777777" w:rsidR="008F585B" w:rsidRPr="00B515D9" w:rsidRDefault="008F585B" w:rsidP="008F585B">
      <w:pPr>
        <w:pStyle w:val="Unternehmenkommunikation"/>
        <w:jc w:val="left"/>
        <w:rPr>
          <w:lang w:val="en-US"/>
        </w:rPr>
      </w:pPr>
    </w:p>
    <w:p w14:paraId="39763639" w14:textId="30EE70DA" w:rsidR="00A73C13" w:rsidRPr="00A36608" w:rsidRDefault="008F585B" w:rsidP="008F585B">
      <w:pPr>
        <w:pStyle w:val="Unternehmenkommunikation"/>
        <w:jc w:val="left"/>
      </w:pPr>
      <w:r w:rsidRPr="00486FA5">
        <w:t>Rittal GmbH &amp; Co. KG, Auf dem Stützelberg, 35745 Herborn</w:t>
      </w:r>
      <w:r>
        <w:t>, Germany</w:t>
      </w:r>
    </w:p>
    <w:sectPr w:rsidR="00A73C13" w:rsidRPr="00A36608" w:rsidSect="00F11D1D">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10420E" w14:textId="77777777" w:rsidR="007C1BAC" w:rsidRDefault="007C1BAC" w:rsidP="00C437B6">
      <w:r>
        <w:separator/>
      </w:r>
    </w:p>
  </w:endnote>
  <w:endnote w:type="continuationSeparator" w:id="0">
    <w:p w14:paraId="22D0F1B3" w14:textId="77777777" w:rsidR="007C1BAC" w:rsidRDefault="007C1BAC"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6C5208F2" w:rsidR="00202595" w:rsidRDefault="00B53034">
    <w:pPr>
      <w:pStyle w:val="Fuzeile"/>
    </w:pPr>
    <w:r w:rsidRPr="006270D1">
      <w:rPr>
        <w:noProof/>
      </w:rPr>
      <w:drawing>
        <wp:anchor distT="0" distB="0" distL="0" distR="0" simplePos="0" relativeHeight="251657216" behindDoc="0" locked="0" layoutInCell="1" allowOverlap="0" wp14:anchorId="370ED1DB" wp14:editId="5CD92332">
          <wp:simplePos x="0" y="0"/>
          <wp:positionH relativeFrom="margin">
            <wp:posOffset>-967740</wp:posOffset>
          </wp:positionH>
          <wp:positionV relativeFrom="topMargin">
            <wp:posOffset>9783584</wp:posOffset>
          </wp:positionV>
          <wp:extent cx="7773670" cy="182880"/>
          <wp:effectExtent l="0" t="0" r="0" b="0"/>
          <wp:wrapThrough wrapText="bothSides">
            <wp:wrapPolygon edited="0">
              <wp:start x="0" y="0"/>
              <wp:lineTo x="0" y="19500"/>
              <wp:lineTo x="21561" y="19500"/>
              <wp:lineTo x="21561"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3670" cy="182880"/>
                  </a:xfrm>
                  <a:prstGeom prst="rect">
                    <a:avLst/>
                  </a:prstGeom>
                </pic:spPr>
              </pic:pic>
            </a:graphicData>
          </a:graphic>
          <wp14:sizeRelV relativeFrom="margin">
            <wp14:pctHeight>0</wp14:pctHeight>
          </wp14:sizeRelV>
        </wp:anchor>
      </w:drawing>
    </w:r>
    <w:r>
      <w:rPr>
        <w:noProof/>
        <w:szCs w:val="20"/>
      </w:rPr>
      <w:drawing>
        <wp:anchor distT="0" distB="0" distL="114300" distR="114300" simplePos="0" relativeHeight="251658240" behindDoc="1" locked="0" layoutInCell="1" allowOverlap="1" wp14:anchorId="6347FF42" wp14:editId="222E1FC1">
          <wp:simplePos x="0" y="0"/>
          <wp:positionH relativeFrom="page">
            <wp:posOffset>866140</wp:posOffset>
          </wp:positionH>
          <wp:positionV relativeFrom="page">
            <wp:posOffset>10275431</wp:posOffset>
          </wp:positionV>
          <wp:extent cx="1767840" cy="93345"/>
          <wp:effectExtent l="0" t="0" r="0" b="0"/>
          <wp:wrapNone/>
          <wp:docPr id="18" name="Bild 1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840" cy="9334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70B0A" w14:textId="77777777" w:rsidR="007C1BAC" w:rsidRDefault="007C1BAC" w:rsidP="00C437B6">
      <w:r>
        <w:separator/>
      </w:r>
    </w:p>
  </w:footnote>
  <w:footnote w:type="continuationSeparator" w:id="0">
    <w:p w14:paraId="70153D79" w14:textId="77777777" w:rsidR="007C1BAC" w:rsidRDefault="007C1BAC"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0D1CAED3" w:rsidR="00202595" w:rsidRDefault="00376C7E">
    <w:pPr>
      <w:kinsoku w:val="0"/>
      <w:overflowPunct w:val="0"/>
      <w:spacing w:line="14" w:lineRule="auto"/>
      <w:rPr>
        <w:rFonts w:ascii="Times New Roman" w:hAnsi="Times New Roman" w:cs="Times New Roman"/>
        <w:sz w:val="20"/>
        <w:szCs w:val="20"/>
      </w:rPr>
    </w:pPr>
    <w:r w:rsidRPr="00376C7E">
      <w:rPr>
        <w:rFonts w:eastAsia="MS Mincho"/>
        <w:bCs/>
        <w:noProof/>
      </w:rPr>
      <mc:AlternateContent>
        <mc:Choice Requires="wps">
          <w:drawing>
            <wp:anchor distT="0" distB="0" distL="114300" distR="114300" simplePos="0" relativeHeight="251661312" behindDoc="0" locked="0" layoutInCell="1" allowOverlap="1" wp14:anchorId="206B89A1" wp14:editId="72C9DAD0">
              <wp:simplePos x="0" y="0"/>
              <wp:positionH relativeFrom="margin">
                <wp:align>left</wp:align>
              </wp:positionH>
              <wp:positionV relativeFrom="paragraph">
                <wp:posOffset>436038</wp:posOffset>
              </wp:positionV>
              <wp:extent cx="3904091" cy="409651"/>
              <wp:effectExtent l="0" t="0" r="20320" b="28575"/>
              <wp:wrapNone/>
              <wp:docPr id="871724901" name="Textfeld 871724901"/>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55F39FFC" w14:textId="77777777" w:rsidR="00376C7E" w:rsidRPr="00D5263A" w:rsidRDefault="00376C7E" w:rsidP="00376C7E">
                          <w:pPr>
                            <w:rPr>
                              <w:lang w:val="en-US"/>
                            </w:rPr>
                          </w:pPr>
                          <w:r w:rsidRPr="00D5263A">
                            <w:rPr>
                              <w:lang w:val="en-US"/>
                            </w:rPr>
                            <w:t>Rittal and Eplan at the Hannover Messe</w:t>
                          </w:r>
                        </w:p>
                        <w:p w14:paraId="7E4D67E0" w14:textId="77777777" w:rsidR="00376C7E" w:rsidRPr="00D5263A" w:rsidRDefault="00376C7E" w:rsidP="00376C7E">
                          <w:pPr>
                            <w:rPr>
                              <w:lang w:val="en-US"/>
                            </w:rPr>
                          </w:pPr>
                          <w:r w:rsidRPr="00D5263A">
                            <w:rPr>
                              <w:lang w:val="en-US"/>
                            </w:rPr>
                            <w:t xml:space="preserve">from 20 to 24 April 2026, </w:t>
                          </w:r>
                          <w:r>
                            <w:rPr>
                              <w:lang w:val="en-US"/>
                            </w:rPr>
                            <w:t>h</w:t>
                          </w:r>
                          <w:r w:rsidRPr="00D5263A">
                            <w:rPr>
                              <w:lang w:val="en-US"/>
                            </w:rPr>
                            <w:t xml:space="preserve">all 27, </w:t>
                          </w:r>
                          <w:r>
                            <w:rPr>
                              <w:lang w:val="en-US"/>
                            </w:rPr>
                            <w:t>booth</w:t>
                          </w:r>
                          <w:r w:rsidRPr="00D5263A">
                            <w:rPr>
                              <w:lang w:val="en-US"/>
                            </w:rPr>
                            <w:t xml:space="preserve">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206B89A1" id="_x0000_t202" coordsize="21600,21600" o:spt="202" path="m,l,21600r21600,l21600,xe">
              <v:stroke joinstyle="miter"/>
              <v:path gradientshapeok="t" o:connecttype="rect"/>
            </v:shapetype>
            <v:shape id="Textfeld 871724901" o:spid="_x0000_s1026" type="#_x0000_t202" style="position:absolute;margin-left:0;margin-top:34.35pt;width:307.4pt;height:32.2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" fillcolor="window" strokeweight=".5pt">
              <v:textbox>
                <w:txbxContent>
                  <w:p w14:paraId="55F39FFC" w14:textId="77777777" w:rsidR="00376C7E" w:rsidRPr="00D5263A" w:rsidRDefault="00376C7E" w:rsidP="00376C7E">
                    <w:pPr>
                      <w:rPr>
                        <w:lang w:val="en-US"/>
                      </w:rPr>
                    </w:pPr>
                    <w:r w:rsidRPr="00D5263A">
                      <w:rPr>
                        <w:lang w:val="en-US"/>
                      </w:rPr>
                      <w:t>Rittal and Eplan at the Hannover Messe</w:t>
                    </w:r>
                  </w:p>
                  <w:p w14:paraId="7E4D67E0" w14:textId="77777777" w:rsidR="00376C7E" w:rsidRPr="00D5263A" w:rsidRDefault="00376C7E" w:rsidP="00376C7E">
                    <w:pPr>
                      <w:rPr>
                        <w:lang w:val="en-US"/>
                      </w:rPr>
                    </w:pPr>
                    <w:r w:rsidRPr="00D5263A">
                      <w:rPr>
                        <w:lang w:val="en-US"/>
                      </w:rPr>
                      <w:t xml:space="preserve">from 20 to 24 April 2026, </w:t>
                    </w:r>
                    <w:r>
                      <w:rPr>
                        <w:lang w:val="en-US"/>
                      </w:rPr>
                      <w:t>h</w:t>
                    </w:r>
                    <w:r w:rsidRPr="00D5263A">
                      <w:rPr>
                        <w:lang w:val="en-US"/>
                      </w:rPr>
                      <w:t xml:space="preserve">all 27, </w:t>
                    </w:r>
                    <w:r>
                      <w:rPr>
                        <w:lang w:val="en-US"/>
                      </w:rPr>
                      <w:t>booth</w:t>
                    </w:r>
                    <w:r w:rsidRPr="00D5263A">
                      <w:rPr>
                        <w:lang w:val="en-US"/>
                      </w:rPr>
                      <w:t xml:space="preserve"> D50</w:t>
                    </w:r>
                  </w:p>
                </w:txbxContent>
              </v:textbox>
              <w10:wrap anchorx="margin"/>
            </v:shape>
          </w:pict>
        </mc:Fallback>
      </mc:AlternateContent>
    </w:r>
    <w:r w:rsidR="0011102D" w:rsidRPr="0011102D">
      <w:rPr>
        <w:rFonts w:ascii="Times New Roman" w:hAnsi="Times New Roman" w:cs="Times New Roman"/>
        <w:noProof/>
        <w:sz w:val="20"/>
        <w:szCs w:val="20"/>
      </w:rPr>
      <w:drawing>
        <wp:anchor distT="0" distB="0" distL="114300" distR="114300" simplePos="0" relativeHeight="251656192" behindDoc="1" locked="0" layoutInCell="1" allowOverlap="1" wp14:anchorId="4C9886F2" wp14:editId="127DD8DE">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A36608">
      <w:rPr>
        <w:noProof/>
        <w:sz w:val="16"/>
        <w:szCs w:val="16"/>
      </w:rPr>
      <mc:AlternateContent>
        <mc:Choice Requires="wps">
          <w:drawing>
            <wp:anchor distT="0" distB="0" distL="114300" distR="114300" simplePos="0" relativeHeight="251659264" behindDoc="1" locked="0" layoutInCell="0" allowOverlap="1" wp14:anchorId="00F58628" wp14:editId="29C0DE3B">
              <wp:simplePos x="0" y="0"/>
              <wp:positionH relativeFrom="page">
                <wp:posOffset>864235</wp:posOffset>
              </wp:positionH>
              <wp:positionV relativeFrom="page">
                <wp:posOffset>449580</wp:posOffset>
              </wp:positionV>
              <wp:extent cx="1485900" cy="351790"/>
              <wp:effectExtent l="0" t="1905" r="2540" b="0"/>
              <wp:wrapNone/>
              <wp:docPr id="68877770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2BCEE4E0"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58628" id="_x0000_t202" coordsize="21600,21600" o:spt="202" path="m,l,21600r21600,l21600,xe">
              <v:stroke joinstyle="miter"/>
              <v:path gradientshapeok="t" o:connecttype="rect"/>
            </v:shapetype>
            <v:shape id="Text Box 1" o:spid="_x0000_s1026" type="#_x0000_t202" style="position:absolute;margin-left:68.05pt;margin-top:35.4pt;width:117pt;height:27.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5B40DB85" w14:textId="2BCEE4E0"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22489"/>
    <w:rsid w:val="00025AE7"/>
    <w:rsid w:val="00027B50"/>
    <w:rsid w:val="00034685"/>
    <w:rsid w:val="00037FD6"/>
    <w:rsid w:val="00047B15"/>
    <w:rsid w:val="00052DD2"/>
    <w:rsid w:val="00077076"/>
    <w:rsid w:val="00080930"/>
    <w:rsid w:val="000902CE"/>
    <w:rsid w:val="000E7A2C"/>
    <w:rsid w:val="0011102D"/>
    <w:rsid w:val="00114302"/>
    <w:rsid w:val="001457E3"/>
    <w:rsid w:val="00145F70"/>
    <w:rsid w:val="001519D2"/>
    <w:rsid w:val="001926CE"/>
    <w:rsid w:val="001B189F"/>
    <w:rsid w:val="001B59CC"/>
    <w:rsid w:val="001B7268"/>
    <w:rsid w:val="001C25B8"/>
    <w:rsid w:val="001D555B"/>
    <w:rsid w:val="001D6722"/>
    <w:rsid w:val="001E046B"/>
    <w:rsid w:val="001E78D8"/>
    <w:rsid w:val="002016FD"/>
    <w:rsid w:val="00202595"/>
    <w:rsid w:val="00211B44"/>
    <w:rsid w:val="00215DB2"/>
    <w:rsid w:val="0023718F"/>
    <w:rsid w:val="00261BBA"/>
    <w:rsid w:val="00274BBB"/>
    <w:rsid w:val="002A662A"/>
    <w:rsid w:val="002C00E6"/>
    <w:rsid w:val="002C6615"/>
    <w:rsid w:val="002D2830"/>
    <w:rsid w:val="002D3CA2"/>
    <w:rsid w:val="002E1F7F"/>
    <w:rsid w:val="0030636B"/>
    <w:rsid w:val="0031514E"/>
    <w:rsid w:val="0033402A"/>
    <w:rsid w:val="00350E6C"/>
    <w:rsid w:val="00367B14"/>
    <w:rsid w:val="00376C7E"/>
    <w:rsid w:val="00397E80"/>
    <w:rsid w:val="003A7EAF"/>
    <w:rsid w:val="003B12EF"/>
    <w:rsid w:val="003B413C"/>
    <w:rsid w:val="003C464D"/>
    <w:rsid w:val="004158D2"/>
    <w:rsid w:val="00424077"/>
    <w:rsid w:val="0042557E"/>
    <w:rsid w:val="004305EE"/>
    <w:rsid w:val="00445DA2"/>
    <w:rsid w:val="00447C4E"/>
    <w:rsid w:val="00454741"/>
    <w:rsid w:val="00455B4F"/>
    <w:rsid w:val="00456F1A"/>
    <w:rsid w:val="004616A5"/>
    <w:rsid w:val="004643E3"/>
    <w:rsid w:val="004839D0"/>
    <w:rsid w:val="004845A9"/>
    <w:rsid w:val="004860F9"/>
    <w:rsid w:val="00486A98"/>
    <w:rsid w:val="004C3F58"/>
    <w:rsid w:val="004D56BD"/>
    <w:rsid w:val="004F229F"/>
    <w:rsid w:val="00512F78"/>
    <w:rsid w:val="00513BB5"/>
    <w:rsid w:val="00542350"/>
    <w:rsid w:val="005467FA"/>
    <w:rsid w:val="0055018D"/>
    <w:rsid w:val="00556081"/>
    <w:rsid w:val="0057573C"/>
    <w:rsid w:val="00584C14"/>
    <w:rsid w:val="005A134E"/>
    <w:rsid w:val="005D33D3"/>
    <w:rsid w:val="005D7486"/>
    <w:rsid w:val="005F47D3"/>
    <w:rsid w:val="00613397"/>
    <w:rsid w:val="006270D1"/>
    <w:rsid w:val="006467B0"/>
    <w:rsid w:val="00650E38"/>
    <w:rsid w:val="00654F16"/>
    <w:rsid w:val="00655540"/>
    <w:rsid w:val="0067568A"/>
    <w:rsid w:val="00681C6A"/>
    <w:rsid w:val="006922E1"/>
    <w:rsid w:val="006A2213"/>
    <w:rsid w:val="006B0F11"/>
    <w:rsid w:val="006C0224"/>
    <w:rsid w:val="006C2B8D"/>
    <w:rsid w:val="006C6990"/>
    <w:rsid w:val="006C7EF7"/>
    <w:rsid w:val="006D5EAA"/>
    <w:rsid w:val="006E6B91"/>
    <w:rsid w:val="006F451A"/>
    <w:rsid w:val="00701182"/>
    <w:rsid w:val="00703E13"/>
    <w:rsid w:val="007315EA"/>
    <w:rsid w:val="007379AB"/>
    <w:rsid w:val="00744D53"/>
    <w:rsid w:val="007568B6"/>
    <w:rsid w:val="00760BC1"/>
    <w:rsid w:val="00764DAD"/>
    <w:rsid w:val="007656D2"/>
    <w:rsid w:val="00770261"/>
    <w:rsid w:val="007B0D89"/>
    <w:rsid w:val="007C1BAC"/>
    <w:rsid w:val="007C2C27"/>
    <w:rsid w:val="007D60A7"/>
    <w:rsid w:val="007D7AE2"/>
    <w:rsid w:val="007D7EC5"/>
    <w:rsid w:val="00801528"/>
    <w:rsid w:val="00805E8F"/>
    <w:rsid w:val="0083064A"/>
    <w:rsid w:val="008610E2"/>
    <w:rsid w:val="00875457"/>
    <w:rsid w:val="00886E96"/>
    <w:rsid w:val="008912E2"/>
    <w:rsid w:val="008950B8"/>
    <w:rsid w:val="00895E52"/>
    <w:rsid w:val="008A1594"/>
    <w:rsid w:val="008F585B"/>
    <w:rsid w:val="008F58D0"/>
    <w:rsid w:val="009058E3"/>
    <w:rsid w:val="00947C4F"/>
    <w:rsid w:val="00996B25"/>
    <w:rsid w:val="009A0F9D"/>
    <w:rsid w:val="009D411D"/>
    <w:rsid w:val="009D709C"/>
    <w:rsid w:val="009E0DC3"/>
    <w:rsid w:val="009E3CD4"/>
    <w:rsid w:val="009E4D10"/>
    <w:rsid w:val="009F3123"/>
    <w:rsid w:val="00A0608C"/>
    <w:rsid w:val="00A23870"/>
    <w:rsid w:val="00A36608"/>
    <w:rsid w:val="00A37B28"/>
    <w:rsid w:val="00A51035"/>
    <w:rsid w:val="00A51E5F"/>
    <w:rsid w:val="00A66242"/>
    <w:rsid w:val="00A71BED"/>
    <w:rsid w:val="00A73C13"/>
    <w:rsid w:val="00A90FC3"/>
    <w:rsid w:val="00AA6300"/>
    <w:rsid w:val="00AA6A2B"/>
    <w:rsid w:val="00AC391D"/>
    <w:rsid w:val="00AD5C77"/>
    <w:rsid w:val="00B111ED"/>
    <w:rsid w:val="00B12FC3"/>
    <w:rsid w:val="00B2698F"/>
    <w:rsid w:val="00B317B0"/>
    <w:rsid w:val="00B42CC3"/>
    <w:rsid w:val="00B5087C"/>
    <w:rsid w:val="00B515D9"/>
    <w:rsid w:val="00B53034"/>
    <w:rsid w:val="00B70890"/>
    <w:rsid w:val="00B75E7A"/>
    <w:rsid w:val="00B8089B"/>
    <w:rsid w:val="00B921A4"/>
    <w:rsid w:val="00B9325B"/>
    <w:rsid w:val="00BD1E6B"/>
    <w:rsid w:val="00BE100D"/>
    <w:rsid w:val="00C0410E"/>
    <w:rsid w:val="00C40907"/>
    <w:rsid w:val="00C437B6"/>
    <w:rsid w:val="00C63973"/>
    <w:rsid w:val="00C66898"/>
    <w:rsid w:val="00C707D4"/>
    <w:rsid w:val="00C7714F"/>
    <w:rsid w:val="00C83B47"/>
    <w:rsid w:val="00C85246"/>
    <w:rsid w:val="00C933FC"/>
    <w:rsid w:val="00C9738B"/>
    <w:rsid w:val="00CA28D3"/>
    <w:rsid w:val="00CB1B61"/>
    <w:rsid w:val="00CC229D"/>
    <w:rsid w:val="00CC3274"/>
    <w:rsid w:val="00CC57AA"/>
    <w:rsid w:val="00CD7C6C"/>
    <w:rsid w:val="00CF7702"/>
    <w:rsid w:val="00D02577"/>
    <w:rsid w:val="00D02D5B"/>
    <w:rsid w:val="00D0666B"/>
    <w:rsid w:val="00D109A1"/>
    <w:rsid w:val="00D205F9"/>
    <w:rsid w:val="00D2409E"/>
    <w:rsid w:val="00D80B69"/>
    <w:rsid w:val="00D92FEF"/>
    <w:rsid w:val="00DA0AC1"/>
    <w:rsid w:val="00DA78A6"/>
    <w:rsid w:val="00DC7953"/>
    <w:rsid w:val="00DC7BEC"/>
    <w:rsid w:val="00DD48DF"/>
    <w:rsid w:val="00DF3CF6"/>
    <w:rsid w:val="00E02D8D"/>
    <w:rsid w:val="00E427B7"/>
    <w:rsid w:val="00E4364C"/>
    <w:rsid w:val="00E43B92"/>
    <w:rsid w:val="00E45428"/>
    <w:rsid w:val="00E46942"/>
    <w:rsid w:val="00E7156E"/>
    <w:rsid w:val="00EB1ED8"/>
    <w:rsid w:val="00ED3D20"/>
    <w:rsid w:val="00EE2E8D"/>
    <w:rsid w:val="00EE437A"/>
    <w:rsid w:val="00F11D1D"/>
    <w:rsid w:val="00F11F96"/>
    <w:rsid w:val="00F34793"/>
    <w:rsid w:val="00F46C85"/>
    <w:rsid w:val="00F513BA"/>
    <w:rsid w:val="00F53B77"/>
    <w:rsid w:val="00F56180"/>
    <w:rsid w:val="00F61379"/>
    <w:rsid w:val="00F87B82"/>
    <w:rsid w:val="00F90E37"/>
    <w:rsid w:val="00F94098"/>
    <w:rsid w:val="00FB1403"/>
    <w:rsid w:val="00FC3A8C"/>
    <w:rsid w:val="00FD4CFC"/>
    <w:rsid w:val="00FE5478"/>
    <w:rsid w:val="00FF5C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Default">
    <w:name w:val="Default"/>
    <w:rsid w:val="00542350"/>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542350"/>
    <w:rPr>
      <w:color w:val="605E5C"/>
      <w:shd w:val="clear" w:color="auto" w:fill="E1DFDD"/>
    </w:rPr>
  </w:style>
  <w:style w:type="character" w:styleId="BesuchterLink">
    <w:name w:val="FollowedHyperlink"/>
    <w:basedOn w:val="Absatz-Standardschriftart"/>
    <w:uiPriority w:val="99"/>
    <w:semiHidden/>
    <w:unhideWhenUsed/>
    <w:rsid w:val="00A37B28"/>
    <w:rPr>
      <w:color w:val="800080" w:themeColor="followedHyperlink"/>
      <w:u w:val="single"/>
    </w:rPr>
  </w:style>
  <w:style w:type="character" w:styleId="Kommentarzeichen">
    <w:name w:val="annotation reference"/>
    <w:basedOn w:val="Absatz-Standardschriftart"/>
    <w:uiPriority w:val="99"/>
    <w:semiHidden/>
    <w:unhideWhenUsed/>
    <w:rsid w:val="00703E13"/>
    <w:rPr>
      <w:sz w:val="16"/>
      <w:szCs w:val="16"/>
    </w:rPr>
  </w:style>
  <w:style w:type="paragraph" w:styleId="Kommentartext">
    <w:name w:val="annotation text"/>
    <w:basedOn w:val="Standard"/>
    <w:link w:val="KommentartextZchn"/>
    <w:uiPriority w:val="99"/>
    <w:unhideWhenUsed/>
    <w:rsid w:val="00703E13"/>
    <w:rPr>
      <w:sz w:val="20"/>
      <w:szCs w:val="20"/>
    </w:rPr>
  </w:style>
  <w:style w:type="character" w:customStyle="1" w:styleId="KommentartextZchn">
    <w:name w:val="Kommentartext Zchn"/>
    <w:basedOn w:val="Absatz-Standardschriftart"/>
    <w:link w:val="Kommentartext"/>
    <w:uiPriority w:val="99"/>
    <w:rsid w:val="00703E13"/>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03E13"/>
    <w:rPr>
      <w:b/>
      <w:bCs/>
    </w:rPr>
  </w:style>
  <w:style w:type="character" w:customStyle="1" w:styleId="KommentarthemaZchn">
    <w:name w:val="Kommentarthema Zchn"/>
    <w:basedOn w:val="KommentartextZchn"/>
    <w:link w:val="Kommentarthema"/>
    <w:uiPriority w:val="99"/>
    <w:semiHidden/>
    <w:rsid w:val="00703E13"/>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maltzan.s@rittal.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koch.hr@rittal.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ueller.co@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485CBD95-DA2E-4330-AC06-122BA2488BDA}">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96200BFC-BDD6-4FDF-B206-E2675FC824BC}">
  <ds:schemaRefs>
    <ds:schemaRef ds:uri="http://schemas.microsoft.com/sharepoint/v3/contenttype/forms"/>
  </ds:schemaRefs>
</ds:datastoreItem>
</file>

<file path=customXml/itemProps3.xml><?xml version="1.0" encoding="utf-8"?>
<ds:datastoreItem xmlns:ds="http://schemas.openxmlformats.org/officeDocument/2006/customXml" ds:itemID="{F54BAA1C-271B-47C8-9478-19C77B501A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1120</Words>
  <Characters>7063</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Steffen Maltzan</cp:lastModifiedBy>
  <cp:revision>15</cp:revision>
  <cp:lastPrinted>2026-04-17T09:12:00Z</cp:lastPrinted>
  <dcterms:created xsi:type="dcterms:W3CDTF">2026-04-17T09:04:00Z</dcterms:created>
  <dcterms:modified xsi:type="dcterms:W3CDTF">2026-04-18T13:22:00Z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MSIP_Label_3a28a66c-3c7f-463f-9f3d-483220f1d838_Enabled">
    <vt:lpwstr>true</vt:lpwstr>
  </property>
  <property fmtid="{D5CDD505-2E9C-101B-9397-08002B2CF9AE}" pid="6" name="MSIP_Label_3a28a66c-3c7f-463f-9f3d-483220f1d838_SetDate">
    <vt:lpwstr>2026-03-05T13:44:40Z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c9378411-19c0-4a97-9706-80eb282f17c8</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